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5E0F" w14:textId="77777777" w:rsidR="000F2A7E" w:rsidRDefault="000F2A7E" w:rsidP="000F2A7E">
      <w:pPr>
        <w:pStyle w:val="cuerpodeltexto0"/>
        <w:shd w:val="clear" w:color="auto" w:fill="FFFFFF"/>
        <w:spacing w:before="0" w:beforeAutospacing="0" w:after="150" w:afterAutospacing="0"/>
        <w:jc w:val="center"/>
        <w:rPr>
          <w:rFonts w:ascii="Helvetica" w:hAnsi="Helvetica" w:cs="Helvetica"/>
          <w:color w:val="555555"/>
          <w:sz w:val="21"/>
          <w:szCs w:val="21"/>
        </w:rPr>
      </w:pPr>
      <w:r>
        <w:rPr>
          <w:rFonts w:ascii="Segoe UI" w:hAnsi="Segoe UI" w:cs="Segoe UI"/>
          <w:b/>
          <w:bCs/>
          <w:color w:val="0000FF"/>
          <w:sz w:val="28"/>
          <w:szCs w:val="28"/>
        </w:rPr>
        <w:t xml:space="preserve">OFICIO </w:t>
      </w:r>
      <w:proofErr w:type="spellStart"/>
      <w:r>
        <w:rPr>
          <w:rFonts w:ascii="Segoe UI" w:hAnsi="Segoe UI" w:cs="Segoe UI"/>
          <w:b/>
          <w:bCs/>
          <w:color w:val="0000FF"/>
          <w:sz w:val="28"/>
          <w:szCs w:val="28"/>
        </w:rPr>
        <w:t>Nº</w:t>
      </w:r>
      <w:proofErr w:type="spellEnd"/>
      <w:r>
        <w:rPr>
          <w:rFonts w:ascii="Segoe UI" w:hAnsi="Segoe UI" w:cs="Segoe UI"/>
          <w:b/>
          <w:bCs/>
          <w:color w:val="0000FF"/>
          <w:sz w:val="28"/>
          <w:szCs w:val="28"/>
        </w:rPr>
        <w:t xml:space="preserve"> 1015 [906154]</w:t>
      </w:r>
    </w:p>
    <w:p w14:paraId="5E2045CE" w14:textId="77777777" w:rsidR="000F2A7E" w:rsidRDefault="000F2A7E" w:rsidP="000F2A7E">
      <w:pPr>
        <w:pStyle w:val="cuerpodeltexto0"/>
        <w:shd w:val="clear" w:color="auto" w:fill="FFFFFF"/>
        <w:spacing w:before="0" w:beforeAutospacing="0" w:after="150" w:afterAutospacing="0"/>
        <w:jc w:val="center"/>
        <w:rPr>
          <w:rFonts w:ascii="Helvetica" w:hAnsi="Helvetica" w:cs="Helvetica"/>
          <w:color w:val="555555"/>
          <w:sz w:val="21"/>
          <w:szCs w:val="21"/>
        </w:rPr>
      </w:pPr>
      <w:r>
        <w:rPr>
          <w:rFonts w:ascii="Segoe UI" w:hAnsi="Segoe UI" w:cs="Segoe UI"/>
          <w:b/>
          <w:bCs/>
          <w:color w:val="0000FF"/>
          <w:sz w:val="28"/>
          <w:szCs w:val="28"/>
        </w:rPr>
        <w:t>10-08-2022</w:t>
      </w:r>
    </w:p>
    <w:p w14:paraId="1722E04E" w14:textId="77777777" w:rsidR="000F2A7E" w:rsidRDefault="000F2A7E" w:rsidP="000F2A7E">
      <w:pPr>
        <w:pStyle w:val="cuerpodeltexto0"/>
        <w:shd w:val="clear" w:color="auto" w:fill="FFFFFF"/>
        <w:spacing w:before="0" w:beforeAutospacing="0" w:after="150" w:afterAutospacing="0"/>
        <w:jc w:val="center"/>
        <w:rPr>
          <w:rFonts w:ascii="Helvetica" w:hAnsi="Helvetica" w:cs="Helvetica"/>
          <w:color w:val="555555"/>
          <w:sz w:val="21"/>
          <w:szCs w:val="21"/>
        </w:rPr>
      </w:pPr>
      <w:r>
        <w:rPr>
          <w:rFonts w:ascii="Segoe UI" w:hAnsi="Segoe UI" w:cs="Segoe UI"/>
          <w:b/>
          <w:bCs/>
          <w:color w:val="0000FF"/>
          <w:sz w:val="28"/>
          <w:szCs w:val="28"/>
        </w:rPr>
        <w:t>DIAN</w:t>
      </w:r>
    </w:p>
    <w:p w14:paraId="3003DC7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1F2D89B0"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3107F13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Subdirección de Normativa y Doctrina</w:t>
      </w:r>
    </w:p>
    <w:p w14:paraId="18BDA160"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100208192-1015</w:t>
      </w:r>
    </w:p>
    <w:p w14:paraId="3DE4A3E9"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Bogotá, D.C.</w:t>
      </w:r>
    </w:p>
    <w:p w14:paraId="0770F8CA"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14051A61"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Cordial saludo,</w:t>
      </w:r>
    </w:p>
    <w:p w14:paraId="22D1A92C"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6053BDB9"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7A239A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758A6E2B"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Mediante el radicado de la referencia, la peticionaria formula unos interrogantes relacionados con el Régimen Tributario de Entidades Controladas del Exterior - ECE, los cuales se atenderán cada uno a su turno.</w:t>
      </w:r>
    </w:p>
    <w:p w14:paraId="5AB151CB"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5F9BC16B"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Segoe UI" w:hAnsi="Segoe UI" w:cs="Segoe UI"/>
          <w:b/>
          <w:bCs/>
          <w:i/>
          <w:iCs/>
          <w:color w:val="000000"/>
          <w:sz w:val="22"/>
          <w:szCs w:val="22"/>
        </w:rPr>
        <w:t>1. “Sírvase de (sic) confirmar si el artículo 884 del Estatuto Tributario incluye una lista taxativa y de interpretación exegética de lo que se considera ingreso pasivo obtenido por una Entidad Controlada del Exterior (...)</w:t>
      </w:r>
    </w:p>
    <w:p w14:paraId="75581C8E"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Helvetica" w:hAnsi="Helvetica" w:cs="Helvetica"/>
          <w:color w:val="555555"/>
          <w:sz w:val="21"/>
          <w:szCs w:val="21"/>
        </w:rPr>
        <w:t> </w:t>
      </w:r>
    </w:p>
    <w:p w14:paraId="504C68FF"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Segoe UI" w:hAnsi="Segoe UI" w:cs="Segoe UI"/>
          <w:b/>
          <w:bCs/>
          <w:i/>
          <w:iCs/>
          <w:color w:val="000000"/>
          <w:sz w:val="22"/>
          <w:szCs w:val="22"/>
        </w:rPr>
        <w:t>De conformidad con el numeral 7 del artículo 884 del Estatuto Tributario, se consideran ingresos pasivos obtenidos por una ECE aquellos ‘ingresos provenientes de la prestación de servicios técnicos, de asistencia técnica, administrativos, ingeniería, arquitectura, científicos, calificados, industriales y comerciales para o en nombre de partes relacionadas en una jurisdicción distinta a la de la residencia o ubicación de la ECE’.</w:t>
      </w:r>
    </w:p>
    <w:p w14:paraId="1E64F0C1"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Helvetica" w:hAnsi="Helvetica" w:cs="Helvetica"/>
          <w:color w:val="555555"/>
          <w:sz w:val="21"/>
          <w:szCs w:val="21"/>
        </w:rPr>
        <w:t> </w:t>
      </w:r>
    </w:p>
    <w:p w14:paraId="2174E818"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Segoe UI" w:hAnsi="Segoe UI" w:cs="Segoe UI"/>
          <w:b/>
          <w:bCs/>
          <w:i/>
          <w:iCs/>
          <w:color w:val="000000"/>
          <w:sz w:val="22"/>
          <w:szCs w:val="22"/>
        </w:rPr>
        <w:t>En ese sentido, se concluye que los únicos servicios que califican como rentas pasivas son aquellos descritos en la norma, siempre que se verifiquen que son prestados para o en nombre de partes relacionadas”.</w:t>
      </w:r>
    </w:p>
    <w:p w14:paraId="1CF89B3D"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086847AF"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En el Oficio 023485 de octubre 1 de 2019 se indicó que el artículo 884 </w:t>
      </w:r>
      <w:proofErr w:type="spellStart"/>
      <w:r>
        <w:rPr>
          <w:rFonts w:ascii="Segoe UI" w:hAnsi="Segoe UI" w:cs="Segoe UI"/>
          <w:i/>
          <w:iCs/>
          <w:color w:val="000000"/>
          <w:sz w:val="22"/>
          <w:szCs w:val="22"/>
        </w:rPr>
        <w:t>ibídem</w:t>
      </w:r>
      <w:proofErr w:type="spellEnd"/>
      <w:r>
        <w:rPr>
          <w:rFonts w:ascii="Segoe UI" w:hAnsi="Segoe UI" w:cs="Segoe UI"/>
          <w:i/>
          <w:iCs/>
          <w:color w:val="000000"/>
          <w:sz w:val="22"/>
          <w:szCs w:val="22"/>
        </w:rPr>
        <w:t xml:space="preserve"> “establece un listado </w:t>
      </w:r>
      <w:r>
        <w:rPr>
          <w:rFonts w:ascii="Segoe UI" w:hAnsi="Segoe UI" w:cs="Segoe UI"/>
          <w:i/>
          <w:iCs/>
          <w:color w:val="000000"/>
          <w:sz w:val="22"/>
          <w:szCs w:val="22"/>
          <w:u w:val="single"/>
        </w:rPr>
        <w:t>taxativo</w:t>
      </w:r>
      <w:r>
        <w:rPr>
          <w:rFonts w:ascii="Segoe UI" w:hAnsi="Segoe UI" w:cs="Segoe UI"/>
          <w:i/>
          <w:iCs/>
          <w:color w:val="000000"/>
          <w:sz w:val="22"/>
          <w:szCs w:val="22"/>
        </w:rPr>
        <w:t> de aquellos ingresos que se consideran como rentas pasivas”</w:t>
      </w:r>
      <w:r>
        <w:rPr>
          <w:rFonts w:ascii="Segoe UI" w:hAnsi="Segoe UI" w:cs="Segoe UI"/>
          <w:color w:val="000000"/>
          <w:sz w:val="22"/>
          <w:szCs w:val="22"/>
        </w:rPr>
        <w:t> (subrayado fuera de texto), lo cual fue reiterado en el Oficio 000493 de agosto 3 de 2020.</w:t>
      </w:r>
    </w:p>
    <w:p w14:paraId="2392B3DB"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4E0AA3A3"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En el pronunciamiento de 2019 también se reconoció que </w:t>
      </w:r>
      <w:r>
        <w:rPr>
          <w:rFonts w:ascii="Segoe UI" w:hAnsi="Segoe UI" w:cs="Segoe UI"/>
          <w:i/>
          <w:iCs/>
          <w:color w:val="000000"/>
          <w:sz w:val="22"/>
          <w:szCs w:val="22"/>
        </w:rPr>
        <w:t>“dentro del listado taxativo señalado en el artículo 884 del E. T. (...) existen algunos que provienen de actividades </w:t>
      </w:r>
      <w:r>
        <w:rPr>
          <w:rFonts w:ascii="Segoe UI" w:hAnsi="Segoe UI" w:cs="Segoe UI"/>
          <w:i/>
          <w:iCs/>
          <w:color w:val="000000"/>
          <w:sz w:val="22"/>
          <w:szCs w:val="22"/>
          <w:u w:val="single"/>
        </w:rPr>
        <w:t>definidas de forma general</w:t>
      </w:r>
      <w:r>
        <w:rPr>
          <w:rFonts w:ascii="Segoe UI" w:hAnsi="Segoe UI" w:cs="Segoe UI"/>
          <w:i/>
          <w:iCs/>
          <w:color w:val="000000"/>
          <w:sz w:val="22"/>
          <w:szCs w:val="22"/>
        </w:rPr>
        <w:t>”</w:t>
      </w:r>
    </w:p>
    <w:p w14:paraId="09347E35"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3DDA7080"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lastRenderedPageBreak/>
        <w:t>(subrayado fuera de texto), lo cual se puede evidenciar, en particular, en el numeral 7 de la norma en comento.</w:t>
      </w:r>
    </w:p>
    <w:p w14:paraId="001AAFA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1AD14248"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En este último caso, aunque están comprendidos conceptos amplios -a saber, </w:t>
      </w:r>
      <w:r>
        <w:rPr>
          <w:rFonts w:ascii="Segoe UI" w:hAnsi="Segoe UI" w:cs="Segoe UI"/>
          <w:i/>
          <w:iCs/>
          <w:color w:val="000000"/>
          <w:sz w:val="22"/>
          <w:szCs w:val="22"/>
        </w:rPr>
        <w:t>“servicios técnicos, de asistencia técnica, administrativos, ingeniería, arquitectura, científicos, calificados, industriales y comerciales”</w:t>
      </w:r>
      <w:r>
        <w:rPr>
          <w:rFonts w:ascii="Segoe UI" w:hAnsi="Segoe UI" w:cs="Segoe UI"/>
          <w:color w:val="000000"/>
          <w:sz w:val="22"/>
          <w:szCs w:val="22"/>
        </w:rPr>
        <w:t>- es menester que los ingresos provengan de servicios prestados </w:t>
      </w:r>
      <w:r>
        <w:rPr>
          <w:rFonts w:ascii="Segoe UI" w:hAnsi="Segoe UI" w:cs="Segoe UI"/>
          <w:i/>
          <w:iCs/>
          <w:color w:val="000000"/>
          <w:sz w:val="22"/>
          <w:szCs w:val="22"/>
        </w:rPr>
        <w:t>“para o en nombre de partes relacionadas en una jurisdicción distinta a la de la residencia o ubicación de la ECE”</w:t>
      </w:r>
      <w:r>
        <w:rPr>
          <w:rFonts w:ascii="Segoe UI" w:hAnsi="Segoe UI" w:cs="Segoe UI"/>
          <w:color w:val="000000"/>
          <w:sz w:val="22"/>
          <w:szCs w:val="22"/>
        </w:rPr>
        <w:t> para calificar los mismos como ingresos pasivos a la luz del régimen </w:t>
      </w:r>
      <w:r>
        <w:rPr>
          <w:rFonts w:ascii="Segoe UI" w:hAnsi="Segoe UI" w:cs="Segoe UI"/>
          <w:i/>
          <w:iCs/>
          <w:color w:val="000000"/>
          <w:sz w:val="22"/>
          <w:szCs w:val="22"/>
        </w:rPr>
        <w:t>sub examine</w:t>
      </w:r>
      <w:r>
        <w:rPr>
          <w:rFonts w:ascii="Segoe UI" w:hAnsi="Segoe UI" w:cs="Segoe UI"/>
          <w:color w:val="000000"/>
          <w:sz w:val="22"/>
          <w:szCs w:val="22"/>
        </w:rPr>
        <w:t>.</w:t>
      </w:r>
    </w:p>
    <w:p w14:paraId="68E888DD"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3BD7842A"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Segoe UI" w:hAnsi="Segoe UI" w:cs="Segoe UI"/>
          <w:b/>
          <w:bCs/>
          <w:i/>
          <w:iCs/>
          <w:color w:val="000000"/>
          <w:sz w:val="22"/>
          <w:szCs w:val="22"/>
        </w:rPr>
        <w:t>2. “(...) sírvase confirmar que (sic) otros tipos de servicios que no se encuentran definidos en el numeral 7 del artículo 884 del Estatuto Tributario y, que tienen una definición especial para efectos fiscales, no califican como rentas pasivas”</w:t>
      </w:r>
    </w:p>
    <w:p w14:paraId="55F61F1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5E139B68"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Teniendo en cuenta la doctrina antes referida, es de colegir que no tienen la naturaleza de ingresos pasivos, para efectos del régimen ECE, todos aquellos que no se enmarquen en los supuestos estrictamente contemplados en el artículo 884 </w:t>
      </w:r>
      <w:proofErr w:type="spellStart"/>
      <w:r>
        <w:rPr>
          <w:rFonts w:ascii="Segoe UI" w:hAnsi="Segoe UI" w:cs="Segoe UI"/>
          <w:i/>
          <w:iCs/>
          <w:color w:val="000000"/>
          <w:sz w:val="22"/>
          <w:szCs w:val="22"/>
        </w:rPr>
        <w:t>ibídem</w:t>
      </w:r>
      <w:proofErr w:type="spellEnd"/>
      <w:r>
        <w:rPr>
          <w:rFonts w:ascii="Segoe UI" w:hAnsi="Segoe UI" w:cs="Segoe UI"/>
          <w:color w:val="000000"/>
          <w:sz w:val="22"/>
          <w:szCs w:val="22"/>
        </w:rPr>
        <w:t>.</w:t>
      </w:r>
    </w:p>
    <w:p w14:paraId="313DCDC2"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2B0B5150" w14:textId="77777777" w:rsidR="000F2A7E" w:rsidRDefault="000F2A7E" w:rsidP="000F2A7E">
      <w:pPr>
        <w:pStyle w:val="cuerpodeltexto0"/>
        <w:shd w:val="clear" w:color="auto" w:fill="FFFFFF"/>
        <w:spacing w:before="0" w:beforeAutospacing="0" w:after="150" w:afterAutospacing="0"/>
        <w:ind w:left="285"/>
        <w:jc w:val="both"/>
        <w:rPr>
          <w:rFonts w:ascii="Helvetica" w:hAnsi="Helvetica" w:cs="Helvetica"/>
          <w:color w:val="555555"/>
          <w:sz w:val="21"/>
          <w:szCs w:val="21"/>
        </w:rPr>
      </w:pPr>
      <w:r>
        <w:rPr>
          <w:rFonts w:ascii="Segoe UI" w:hAnsi="Segoe UI" w:cs="Segoe UI"/>
          <w:b/>
          <w:bCs/>
          <w:i/>
          <w:iCs/>
          <w:color w:val="000000"/>
          <w:sz w:val="22"/>
          <w:szCs w:val="22"/>
        </w:rPr>
        <w:t>3. “¿Qué criterios se deben tener en cuenta para identificar que (sic) se entiende por servicios calificados o administrativos, ya que estos no tienen una definición legal tributaria?”</w:t>
      </w:r>
    </w:p>
    <w:p w14:paraId="6C3B28A0"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349275AA"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Es preciso recordar que, a la luz del artículo 28 del Código Civil, en la labor de hermenéutica jurídica </w:t>
      </w:r>
      <w:r>
        <w:rPr>
          <w:rFonts w:ascii="Segoe UI" w:hAnsi="Segoe UI" w:cs="Segoe UI"/>
          <w:i/>
          <w:iCs/>
          <w:color w:val="000000"/>
          <w:sz w:val="22"/>
          <w:szCs w:val="22"/>
        </w:rPr>
        <w:t>“Las palabras de la ley se entenderán en su sentido natural y obvio, </w:t>
      </w:r>
      <w:r>
        <w:rPr>
          <w:rFonts w:ascii="Segoe UI" w:hAnsi="Segoe UI" w:cs="Segoe UI"/>
          <w:i/>
          <w:iCs/>
          <w:color w:val="000000"/>
          <w:sz w:val="22"/>
          <w:szCs w:val="22"/>
          <w:u w:val="single"/>
        </w:rPr>
        <w:t>según el uso general de las mismas palabras</w:t>
      </w:r>
      <w:r>
        <w:rPr>
          <w:rFonts w:ascii="Segoe UI" w:hAnsi="Segoe UI" w:cs="Segoe UI"/>
          <w:i/>
          <w:iCs/>
          <w:color w:val="000000"/>
          <w:sz w:val="22"/>
          <w:szCs w:val="22"/>
        </w:rPr>
        <w:t>”</w:t>
      </w:r>
      <w:r>
        <w:rPr>
          <w:rFonts w:ascii="Segoe UI" w:hAnsi="Segoe UI" w:cs="Segoe UI"/>
          <w:color w:val="000000"/>
          <w:sz w:val="22"/>
          <w:szCs w:val="22"/>
        </w:rPr>
        <w:t> (subrayado fuera de texto), salvo el legislador les haya otorgado una definición expresa para ciertas materias.</w:t>
      </w:r>
    </w:p>
    <w:p w14:paraId="5D4348E7" w14:textId="19B1792A"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7950B40F"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Atentamente,</w:t>
      </w:r>
    </w:p>
    <w:p w14:paraId="2818A41A"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545C4EA3"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14:paraId="7441B135"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b/>
          <w:bCs/>
          <w:color w:val="000000"/>
          <w:sz w:val="22"/>
          <w:szCs w:val="22"/>
        </w:rPr>
        <w:t>NICOLÁS BERNAL ABELLA</w:t>
      </w:r>
    </w:p>
    <w:p w14:paraId="173830F9"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Subdirector de Normativa y Doctrina (E)</w:t>
      </w:r>
    </w:p>
    <w:p w14:paraId="61BB7787" w14:textId="77777777" w:rsidR="000F2A7E" w:rsidRDefault="000F2A7E" w:rsidP="000F2A7E">
      <w:pPr>
        <w:pStyle w:val="cuerpodeltexto0"/>
        <w:shd w:val="clear" w:color="auto" w:fill="FFFFFF"/>
        <w:spacing w:before="0" w:beforeAutospacing="0" w:after="150" w:afterAutospacing="0"/>
        <w:jc w:val="both"/>
        <w:rPr>
          <w:rFonts w:ascii="Helvetica" w:hAnsi="Helvetica" w:cs="Helvetica"/>
          <w:color w:val="555555"/>
          <w:sz w:val="21"/>
          <w:szCs w:val="21"/>
        </w:rPr>
      </w:pPr>
      <w:r>
        <w:rPr>
          <w:rFonts w:ascii="Segoe UI" w:hAnsi="Segoe UI" w:cs="Segoe UI"/>
          <w:color w:val="000000"/>
          <w:sz w:val="22"/>
          <w:szCs w:val="22"/>
        </w:rPr>
        <w:t>Dirección de Gestión Jurídica</w:t>
      </w:r>
    </w:p>
    <w:p w14:paraId="6FE56349" w14:textId="77777777" w:rsidR="000F2A7E" w:rsidRDefault="000F2A7E" w:rsidP="000F2A7E">
      <w:pPr>
        <w:pStyle w:val="cuerpodeltexto0"/>
        <w:shd w:val="clear" w:color="auto" w:fill="FFFFFF"/>
        <w:spacing w:before="0" w:beforeAutospacing="0" w:after="0" w:afterAutospacing="0"/>
        <w:jc w:val="both"/>
        <w:rPr>
          <w:rFonts w:ascii="Helvetica" w:hAnsi="Helvetica" w:cs="Helvetica"/>
          <w:color w:val="555555"/>
          <w:sz w:val="21"/>
          <w:szCs w:val="21"/>
        </w:rPr>
      </w:pPr>
      <w:r>
        <w:rPr>
          <w:rFonts w:ascii="Segoe UI" w:hAnsi="Segoe UI" w:cs="Segoe UI"/>
          <w:color w:val="000000"/>
          <w:sz w:val="22"/>
          <w:szCs w:val="22"/>
        </w:rPr>
        <w:t>UAE-Dirección de Impuestos y Aduanas Nacionales</w:t>
      </w:r>
    </w:p>
    <w:p w14:paraId="36164B3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7E"/>
    <w:rsid w:val="000F2A7E"/>
    <w:rsid w:val="000F3837"/>
    <w:rsid w:val="001E311E"/>
    <w:rsid w:val="00434AE6"/>
    <w:rsid w:val="005F5B70"/>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9BF9"/>
  <w15:chartTrackingRefBased/>
  <w15:docId w15:val="{B92F8A98-56A2-45AD-896D-7B9FB5E0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0">
    <w:name w:val="cuerpodeltexto0"/>
    <w:basedOn w:val="Normal"/>
    <w:rsid w:val="000F2A7E"/>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0F2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2022-08-26T17:42:00Z</dcterms:created>
  <dcterms:modified xsi:type="dcterms:W3CDTF">2022-08-26T17:42:00Z</dcterms:modified>
</cp:coreProperties>
</file>